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1" w:rsidRDefault="00A027E1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72"/>
        <w:gridCol w:w="95"/>
        <w:gridCol w:w="377"/>
        <w:gridCol w:w="48"/>
        <w:gridCol w:w="425"/>
        <w:gridCol w:w="3544"/>
        <w:gridCol w:w="378"/>
        <w:gridCol w:w="91"/>
        <w:gridCol w:w="414"/>
        <w:gridCol w:w="56"/>
        <w:gridCol w:w="470"/>
        <w:gridCol w:w="8"/>
      </w:tblGrid>
      <w:tr w:rsidR="00606702" w:rsidRPr="0008249A" w:rsidTr="009E318C">
        <w:trPr>
          <w:trHeight w:val="522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CERTIFICATE LEVEL: EMERGENCY ASSESSMENT</w:t>
            </w:r>
          </w:p>
        </w:tc>
      </w:tr>
      <w:tr w:rsidR="00606702" w:rsidRPr="0008249A" w:rsidTr="009E318C">
        <w:trPr>
          <w:trHeight w:val="5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Learning Outcomes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Competency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Learning Outcomes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Competency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evaluate and take control of an emergency situation through a scene survey</w:t>
            </w:r>
            <w:r w:rsidR="00554393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identify the mechanism of injury.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conduct a primary survey including C-Spine st</w:t>
            </w:r>
            <w:r w:rsidR="00554393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 xml:space="preserve">abilization technique, ABC, </w:t>
            </w: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neuro scan</w:t>
            </w:r>
            <w:r w:rsidR="00554393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, and a secondary survey.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06702" w:rsidRPr="0008249A" w:rsidRDefault="00554393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 xml:space="preserve">Is able to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provi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de injury specific intervention by selecting appropriate tests to adequately stress the injured part and is able to perform test accurately.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554393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Demonstrates an organized, logical approach to assessment.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554393" w:rsidP="0055439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determine and present a reasonable differential diagnosis.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55439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 xml:space="preserve">Is able to communicate the plan for </w:t>
            </w:r>
            <w:r w:rsidR="00554393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follow-up</w:t>
            </w: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 xml:space="preserve"> care to the athlete and any others involved.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determine an athlete's readiness to return to play foll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o</w:t>
            </w: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wing the published Return to Play guidelines</w:t>
            </w:r>
            <w:r w:rsidR="00554393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 xml:space="preserve"> within 5 minutes.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554393">
        <w:trPr>
          <w:gridAfter w:val="1"/>
          <w:wAfter w:w="8" w:type="dxa"/>
          <w:trHeight w:val="3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606702" w:rsidRPr="0008249A" w:rsidTr="009E318C">
        <w:trPr>
          <w:gridAfter w:val="1"/>
          <w:wAfter w:w="8" w:type="dxa"/>
          <w:trHeight w:val="4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702" w:rsidRPr="0008249A" w:rsidRDefault="00606702" w:rsidP="009E318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Notes: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2" w:rsidRPr="0008249A" w:rsidRDefault="00606702" w:rsidP="009E318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08249A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606702" w:rsidRDefault="00606702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37"/>
        <w:gridCol w:w="236"/>
        <w:gridCol w:w="189"/>
        <w:gridCol w:w="47"/>
        <w:gridCol w:w="473"/>
        <w:gridCol w:w="142"/>
        <w:gridCol w:w="332"/>
        <w:gridCol w:w="3546"/>
        <w:gridCol w:w="466"/>
        <w:gridCol w:w="6"/>
        <w:gridCol w:w="473"/>
        <w:gridCol w:w="26"/>
        <w:gridCol w:w="448"/>
      </w:tblGrid>
      <w:tr w:rsidR="00827CC8" w:rsidRPr="00827CC8" w:rsidTr="00827CC8">
        <w:trPr>
          <w:trHeight w:val="522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DIPLOMA LEVEL: EQUIPMENT AND SUPPLIES</w:t>
            </w:r>
          </w:p>
        </w:tc>
      </w:tr>
      <w:tr w:rsidR="00827CC8" w:rsidRPr="00827CC8" w:rsidTr="00153195">
        <w:trPr>
          <w:trHeight w:val="52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Learning Outcomes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Competency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Learning Outcomes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Competency</w:t>
            </w:r>
          </w:p>
        </w:tc>
      </w:tr>
      <w:tr w:rsidR="00827CC8" w:rsidRPr="00827CC8" w:rsidTr="00554393">
        <w:trPr>
          <w:trHeight w:val="339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bookmarkStart w:id="0" w:name="_GoBack" w:colFirst="0" w:colLast="7"/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demonstrate the ability to anticipate the needs of a sport team in terms of therapy equipment and supplies.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demonstrate the ability to organize equipment and supplies for a team travelling.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bookmarkEnd w:id="0"/>
      <w:tr w:rsidR="00827CC8" w:rsidRPr="00827CC8" w:rsidTr="00554393">
        <w:trPr>
          <w:trHeight w:val="340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demonstrate knowledge of ordering and purchasing procedures for supplies and equipment.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Is able to demonstrate knowledge of how to store sport therapy supplies and equipment.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554393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1587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7CC8" w:rsidRPr="00827CC8" w:rsidRDefault="00827CC8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Notes: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27CC8" w:rsidRPr="00827CC8" w:rsidTr="00153195">
        <w:trPr>
          <w:trHeight w:val="522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DIPLOMA LEVEL: PHARMACOLOGY IN SPORTS</w:t>
            </w:r>
          </w:p>
        </w:tc>
      </w:tr>
      <w:tr w:rsidR="00827CC8" w:rsidRPr="00827CC8" w:rsidTr="00153195">
        <w:trPr>
          <w:trHeight w:val="52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pharmaceutical agents on the International Olympic Committee’s “banned” list.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24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effect of the basic categories of pharmaceutical agents on athletic performance.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desired effects, considerations in dosage, and adverse effects of pharmaceutical agents commonly used in sports.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discuss the ethical considerations in the use of ergogenic aids.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basic process of drug testing used at athletic competitions.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discuss the development of drug education programs for athletes.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340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153195">
        <w:trPr>
          <w:trHeight w:val="158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CC8" w:rsidRPr="00827CC8" w:rsidRDefault="00827CC8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Notes: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827CC8" w:rsidRDefault="00827CC8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tbl>
      <w:tblPr>
        <w:tblW w:w="10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1"/>
        <w:gridCol w:w="379"/>
        <w:gridCol w:w="95"/>
        <w:gridCol w:w="190"/>
        <w:gridCol w:w="284"/>
        <w:gridCol w:w="476"/>
        <w:gridCol w:w="3560"/>
        <w:gridCol w:w="474"/>
        <w:gridCol w:w="46"/>
        <w:gridCol w:w="334"/>
        <w:gridCol w:w="94"/>
        <w:gridCol w:w="477"/>
      </w:tblGrid>
      <w:tr w:rsidR="00A027E1" w:rsidRPr="00A027E1" w:rsidTr="00153195">
        <w:trPr>
          <w:trHeight w:val="353"/>
        </w:trPr>
        <w:tc>
          <w:tcPr>
            <w:tcW w:w="10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DIPLOMA LEVEL: SPORTS INJURIES AND ORTHOPEDIC CONDITIONS</w:t>
            </w:r>
          </w:p>
        </w:tc>
      </w:tr>
      <w:tr w:rsidR="00A027E1" w:rsidRPr="00A027E1" w:rsidTr="00153195">
        <w:trPr>
          <w:trHeight w:val="353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effects of trauma, infection, degeneration, and immobilization on cartilage, bone, muscle, tendons, ligaments and synovium.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select and perform appropriate measures to obtain relevant subjective and objective assessment data.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proficiency in current joint play and other mobilization techniques used by Physiotherapists.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the current theories of pain, pain transmission, and pain pathways and measurement of pain.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prevention of injuries and re-injury.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an ability to integrate the different aspects of physiotherapy knowledge and skills in the overall management of athlete problems.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and perform dynamic tests for the various joints of the body to determine whether the athlete may return to competition.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physiological effects of various thermal and electrical modalities in the treatment of sports injuries.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understand the mechanics of various movements of the spine.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anatomy of the intervertebral disc, its neural and arterial supply, its mechanics and its intimate relationship with surrounding osseous and soft tissue structures.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special joint pathology as it relates to neural tissues involvement and space occupying lesions.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serious pathology which might simulate benign joint problems.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A027E1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congenital vertebral anomalies.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how common peripheral joint deformities can affect athletic performance and contribute to secondary problems.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827CC8">
        <w:trPr>
          <w:trHeight w:val="353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A027E1" w:rsidTr="00153195">
        <w:trPr>
          <w:trHeight w:val="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Notes: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A027E1" w:rsidTr="00153195">
        <w:trPr>
          <w:trHeight w:val="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A027E1" w:rsidTr="00153195">
        <w:trPr>
          <w:trHeight w:val="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A027E1" w:rsidTr="00153195">
        <w:trPr>
          <w:trHeight w:val="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A027E1" w:rsidTr="00153195">
        <w:trPr>
          <w:trHeight w:val="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7E1" w:rsidRPr="00A027E1" w:rsidRDefault="00A027E1" w:rsidP="00A027E1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E1" w:rsidRPr="00A027E1" w:rsidRDefault="00A027E1" w:rsidP="00A027E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A027E1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</w:tbl>
    <w:p w:rsidR="00A027E1" w:rsidRDefault="00A027E1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72"/>
        <w:gridCol w:w="472"/>
        <w:gridCol w:w="48"/>
        <w:gridCol w:w="138"/>
        <w:gridCol w:w="287"/>
        <w:gridCol w:w="230"/>
        <w:gridCol w:w="487"/>
        <w:gridCol w:w="504"/>
        <w:gridCol w:w="2216"/>
        <w:gridCol w:w="107"/>
        <w:gridCol w:w="411"/>
        <w:gridCol w:w="61"/>
        <w:gridCol w:w="47"/>
        <w:gridCol w:w="379"/>
        <w:gridCol w:w="46"/>
        <w:gridCol w:w="62"/>
        <w:gridCol w:w="396"/>
        <w:gridCol w:w="15"/>
      </w:tblGrid>
      <w:tr w:rsidR="00827CC8" w:rsidRPr="00827CC8" w:rsidTr="00827CC8">
        <w:trPr>
          <w:trHeight w:val="402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DIPLOMA LEVEL: SCIENCE OF ATHLETICS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the role of the coach in sport.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demonstrate knowledge of the psychological response of an individual to environment, physical activity, sport and injury.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personal health habits, which may positively or negatively affect the training of athletes.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recognize the signs and symptoms, method of transfer and vital signs of communicable diseases and other common medical conditions seen in Sport Physiotherapy.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physiological and anatomical differences between male and female athletes.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27CC8" w:rsidRPr="00827CC8" w:rsidRDefault="00827CC8" w:rsidP="00827CC8">
            <w:pPr>
              <w:spacing w:after="24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normal and abnormal patterns of menarche and the effects of training and competition on the menstrual cycle.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effects of exercise during pregnancy.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an injury prevention and medical screening program and injury recording system.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40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827CC8" w:rsidRPr="00827CC8" w:rsidTr="00827CC8">
        <w:trPr>
          <w:trHeight w:val="907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Notes: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827CC8" w:rsidTr="00827CC8">
        <w:trPr>
          <w:gridAfter w:val="1"/>
          <w:wAfter w:w="15" w:type="dxa"/>
          <w:trHeight w:val="2211"/>
        </w:trPr>
        <w:tc>
          <w:tcPr>
            <w:tcW w:w="10206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  <w:tr w:rsidR="00827CC8" w:rsidRPr="00827CC8" w:rsidTr="00827CC8">
        <w:trPr>
          <w:gridAfter w:val="1"/>
          <w:wAfter w:w="15" w:type="dxa"/>
          <w:trHeight w:val="907"/>
        </w:trPr>
        <w:tc>
          <w:tcPr>
            <w:tcW w:w="10206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CC8" w:rsidRPr="00827CC8" w:rsidRDefault="00827CC8" w:rsidP="00827CC8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</w:tr>
      <w:tr w:rsidR="00827CC8" w:rsidRPr="00827CC8" w:rsidTr="00827CC8">
        <w:trPr>
          <w:gridAfter w:val="1"/>
          <w:wAfter w:w="15" w:type="dxa"/>
          <w:trHeight w:val="907"/>
        </w:trPr>
        <w:tc>
          <w:tcPr>
            <w:tcW w:w="4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C8" w:rsidRPr="00827CC8" w:rsidRDefault="00827CC8" w:rsidP="00827CC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827CC8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</w:tr>
    </w:tbl>
    <w:p w:rsidR="00827CC8" w:rsidRDefault="00827CC8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tbl>
      <w:tblPr>
        <w:tblW w:w="10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7"/>
        <w:gridCol w:w="286"/>
        <w:gridCol w:w="190"/>
        <w:gridCol w:w="382"/>
        <w:gridCol w:w="94"/>
        <w:gridCol w:w="478"/>
        <w:gridCol w:w="3576"/>
        <w:gridCol w:w="471"/>
        <w:gridCol w:w="471"/>
        <w:gridCol w:w="473"/>
      </w:tblGrid>
      <w:tr w:rsidR="00153195" w:rsidRPr="00153195" w:rsidTr="00153195">
        <w:trPr>
          <w:trHeight w:val="389"/>
        </w:trPr>
        <w:tc>
          <w:tcPr>
            <w:tcW w:w="10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DIPLOMA LEVEL: EXERCISE PHYSIOLOGY</w:t>
            </w:r>
          </w:p>
        </w:tc>
      </w:tr>
      <w:tr w:rsidR="00153195" w:rsidRPr="00153195" w:rsidTr="00153195">
        <w:trPr>
          <w:trHeight w:val="389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Learning Outcomes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Competency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how one can train the various energy systems for maximum utilization, and considering specificity of training.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various muscle development techniques, their advantages and disadvantages.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common types of training programs and the effects they have on the various body systems including advantages and disadvantages.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discuss the physiological recovery of the body in general and for specific systems following exercise.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426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identify training variables and modify training programs to meet the physiological requirements specific to the athlete’s condition and activity.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design programs for off-season training, pre-season screening, in-season training, routine modification, based on sound physiological, psychological, and nutritional and rehabilitation principles.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426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426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426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identify the effects of year-round training and concepts of peaking, tapering, fatigue and burnout.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basic elements of nutrition including their function, source, storage, and effect of an excess or lack of these elements on performance.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muscle fiber typing as related to the various types of training programs.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the nutritional requirements and considerations for children, women, men, the aged, and athletes.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discuss how flexibility can be tested and methods for improving flexibility.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effects of nutrition on performance including pre-game meals, carbohydrate loading, supplements and fluid intake.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explain the effects of travel, altitude, temperature, humidity, and wind on human performance.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describe methods instituted to change weight and explain positive and negative effects of weight loss considering the sport and the individual.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Notes: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153195" w:rsidRPr="00153195" w:rsidRDefault="00153195" w:rsidP="00153195">
            <w:pPr>
              <w:spacing w:after="24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  <w:t>Is able to discuss long range nutritional planning related to an athlete’s requirements.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  <w:tr w:rsidR="00153195" w:rsidRPr="00153195" w:rsidTr="00153195">
        <w:trPr>
          <w:trHeight w:val="329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 </w:t>
            </w: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53195" w:rsidRPr="00153195" w:rsidRDefault="00153195" w:rsidP="00153195">
            <w:pPr>
              <w:spacing w:after="0"/>
              <w:rPr>
                <w:rFonts w:ascii="Calibri" w:eastAsia="Times New Roman" w:hAnsi="Calibri"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3195" w:rsidRPr="00153195" w:rsidRDefault="00153195" w:rsidP="0015319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 w:rsidRPr="0015319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val="en-CA" w:eastAsia="en-CA"/>
              </w:rPr>
              <w:t>G</w:t>
            </w:r>
          </w:p>
        </w:tc>
      </w:tr>
    </w:tbl>
    <w:p w:rsidR="00827CC8" w:rsidRDefault="00827CC8" w:rsidP="00A151B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Helvetica"/>
          <w:b/>
          <w:bCs/>
          <w:sz w:val="21"/>
          <w:szCs w:val="21"/>
        </w:rPr>
      </w:pPr>
    </w:p>
    <w:sectPr w:rsidR="00827CC8" w:rsidSect="00A151B0">
      <w:headerReference w:type="default" r:id="rId9"/>
      <w:footerReference w:type="default" r:id="rId10"/>
      <w:pgSz w:w="12240" w:h="15840"/>
      <w:pgMar w:top="1440" w:right="1080" w:bottom="1440" w:left="1080" w:header="124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8" w:rsidRDefault="00827CC8" w:rsidP="00905A08">
      <w:pPr>
        <w:spacing w:after="0"/>
      </w:pPr>
      <w:r>
        <w:separator/>
      </w:r>
    </w:p>
  </w:endnote>
  <w:endnote w:type="continuationSeparator" w:id="0">
    <w:p w:rsidR="00827CC8" w:rsidRDefault="00827CC8" w:rsidP="00905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C8" w:rsidRPr="00223735" w:rsidRDefault="00827CC8">
    <w:pPr>
      <w:pStyle w:val="Footer"/>
      <w:jc w:val="right"/>
      <w:rPr>
        <w:rFonts w:ascii="Century Gothic" w:hAnsi="Century Gothic"/>
        <w:sz w:val="16"/>
        <w:szCs w:val="16"/>
      </w:rPr>
    </w:pPr>
    <w:r w:rsidRPr="00223735">
      <w:rPr>
        <w:rFonts w:ascii="Century Gothic" w:hAnsi="Century Gothic"/>
        <w:sz w:val="16"/>
        <w:szCs w:val="16"/>
      </w:rPr>
      <w:fldChar w:fldCharType="begin"/>
    </w:r>
    <w:r w:rsidRPr="00223735">
      <w:rPr>
        <w:rFonts w:ascii="Century Gothic" w:hAnsi="Century Gothic"/>
        <w:sz w:val="16"/>
        <w:szCs w:val="16"/>
      </w:rPr>
      <w:instrText xml:space="preserve"> PAGE   \* MERGEFORMAT </w:instrText>
    </w:r>
    <w:r w:rsidRPr="00223735">
      <w:rPr>
        <w:rFonts w:ascii="Century Gothic" w:hAnsi="Century Gothic"/>
        <w:sz w:val="16"/>
        <w:szCs w:val="16"/>
      </w:rPr>
      <w:fldChar w:fldCharType="separate"/>
    </w:r>
    <w:r w:rsidR="00554393">
      <w:rPr>
        <w:rFonts w:ascii="Century Gothic" w:hAnsi="Century Gothic"/>
        <w:noProof/>
        <w:sz w:val="16"/>
        <w:szCs w:val="16"/>
      </w:rPr>
      <w:t>5</w:t>
    </w:r>
    <w:r w:rsidRPr="00223735">
      <w:rPr>
        <w:rFonts w:ascii="Century Gothic" w:hAnsi="Century Gothic"/>
        <w:noProof/>
        <w:sz w:val="16"/>
        <w:szCs w:val="16"/>
      </w:rPr>
      <w:fldChar w:fldCharType="end"/>
    </w:r>
  </w:p>
  <w:p w:rsidR="00827CC8" w:rsidRDefault="0082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8" w:rsidRDefault="00827CC8" w:rsidP="00905A08">
      <w:pPr>
        <w:spacing w:after="0"/>
      </w:pPr>
      <w:r>
        <w:separator/>
      </w:r>
    </w:p>
  </w:footnote>
  <w:footnote w:type="continuationSeparator" w:id="0">
    <w:p w:rsidR="00827CC8" w:rsidRDefault="00827CC8" w:rsidP="00905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C8" w:rsidRPr="00A43C1A" w:rsidRDefault="00827CC8" w:rsidP="00747BB8">
    <w:pPr>
      <w:pStyle w:val="Header"/>
      <w:tabs>
        <w:tab w:val="clear" w:pos="4680"/>
        <w:tab w:val="clear" w:pos="9360"/>
        <w:tab w:val="left" w:pos="4890"/>
      </w:tabs>
      <w:rPr>
        <w:rFonts w:ascii="Calibri" w:hAnsi="Calibri" w:cs="Arial"/>
        <w:sz w:val="22"/>
        <w:szCs w:val="2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A3009" wp14:editId="3DC184FD">
              <wp:simplePos x="0" y="0"/>
              <wp:positionH relativeFrom="column">
                <wp:posOffset>1104265</wp:posOffset>
              </wp:positionH>
              <wp:positionV relativeFrom="paragraph">
                <wp:posOffset>-558800</wp:posOffset>
              </wp:positionV>
              <wp:extent cx="5784850" cy="86804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C8" w:rsidRPr="002161A4" w:rsidRDefault="00827CC8" w:rsidP="00A43C1A">
                          <w:pPr>
                            <w:tabs>
                              <w:tab w:val="right" w:pos="10800"/>
                            </w:tabs>
                            <w:spacing w:after="0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161A4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 xml:space="preserve">SPC CREDENTIAL PROGRAM: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DIPLOMA</w:t>
                          </w:r>
                          <w:r w:rsidRPr="002161A4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 xml:space="preserve"> LEVEL COMPETENCY RUBRIC</w:t>
                          </w:r>
                        </w:p>
                        <w:p w:rsidR="002621D0" w:rsidRDefault="002621D0" w:rsidP="002621D0">
                          <w:pPr>
                            <w:tabs>
                              <w:tab w:val="right" w:pos="10800"/>
                            </w:tabs>
                            <w:spacing w:after="0"/>
                          </w:pP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Candidates should complete a self-assessment using the rubric. </w:t>
                          </w:r>
                          <w:r w:rsidRPr="002161A4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Using the same rubric throughout mentorship will 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allow you</w:t>
                          </w:r>
                          <w:r w:rsidRPr="002161A4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to identify competencies that need attention.</w:t>
                          </w:r>
                          <w:r w:rsidRPr="002161A4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To use, circle a competency indicator of </w:t>
                          </w:r>
                          <w:r w:rsidRPr="002161A4">
                            <w:rPr>
                              <w:rFonts w:ascii="Calibri" w:hAnsi="Calibri" w:cs="Arial"/>
                              <w:sz w:val="20"/>
                              <w:szCs w:val="20"/>
                              <w:lang w:val="en-CA"/>
                            </w:rPr>
                            <w:t>U = Unacceptable, A = Acceptable, or G = Good. These same indicators as used in the SPC Oral Practical Examinations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  <w:lang w:val="en-CA"/>
                            </w:rPr>
                            <w:t xml:space="preserve"> Marking Guide, which SPC recommends using alongside this rubric.</w:t>
                          </w:r>
                        </w:p>
                        <w:p w:rsidR="00827CC8" w:rsidRDefault="00827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95pt;margin-top:-44pt;width:455.5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H9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" filled="f" stroked="f">
              <v:textbox>
                <w:txbxContent>
                  <w:p w:rsidR="00827CC8" w:rsidRPr="002161A4" w:rsidRDefault="00827CC8" w:rsidP="00A43C1A">
                    <w:pPr>
                      <w:tabs>
                        <w:tab w:val="right" w:pos="10800"/>
                      </w:tabs>
                      <w:spacing w:after="0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161A4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 xml:space="preserve">SPC CREDENTIAL PROGRAM: </w:t>
                    </w:r>
                    <w: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DIPLOMA</w:t>
                    </w:r>
                    <w:r w:rsidRPr="002161A4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 xml:space="preserve"> LEVEL COMPETENCY RUBRIC</w:t>
                    </w:r>
                  </w:p>
                  <w:p w:rsidR="002621D0" w:rsidRDefault="002621D0" w:rsidP="002621D0">
                    <w:pPr>
                      <w:tabs>
                        <w:tab w:val="right" w:pos="10800"/>
                      </w:tabs>
                      <w:spacing w:after="0"/>
                    </w:pP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Candidates should complete a self-assessment using the rubric. </w:t>
                    </w:r>
                    <w:r w:rsidRPr="002161A4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Using the same rubric throughout mentorship will 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>allow you</w:t>
                    </w:r>
                    <w:r w:rsidRPr="002161A4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>to identify competencies that need attention.</w:t>
                    </w:r>
                    <w:r w:rsidRPr="002161A4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To use, circle a competency indicator of </w:t>
                    </w:r>
                    <w:r w:rsidRPr="002161A4">
                      <w:rPr>
                        <w:rFonts w:ascii="Calibri" w:hAnsi="Calibri" w:cs="Arial"/>
                        <w:sz w:val="20"/>
                        <w:szCs w:val="20"/>
                        <w:lang w:val="en-CA"/>
                      </w:rPr>
                      <w:t>U = Unacceptable, A = Acceptable, or G = Good. These same indicators as used in the SPC Oral Practical Examinations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  <w:lang w:val="en-CA"/>
                      </w:rPr>
                      <w:t xml:space="preserve"> Marking Guide, which SPC recommends using alongside this rubric.</w:t>
                    </w:r>
                  </w:p>
                  <w:p w:rsidR="00827CC8" w:rsidRDefault="00827CC8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17AED5" wp14:editId="5B9B01CF">
          <wp:simplePos x="0" y="0"/>
          <wp:positionH relativeFrom="column">
            <wp:posOffset>86995</wp:posOffset>
          </wp:positionH>
          <wp:positionV relativeFrom="paragraph">
            <wp:posOffset>-393700</wp:posOffset>
          </wp:positionV>
          <wp:extent cx="951230" cy="572770"/>
          <wp:effectExtent l="0" t="0" r="1270" b="0"/>
          <wp:wrapSquare wrapText="bothSides"/>
          <wp:docPr id="1" name="Picture 1" descr="SP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1A">
      <w:rPr>
        <w:rFonts w:ascii="Calibri" w:hAnsi="Calibri"/>
      </w:rPr>
      <w:tab/>
    </w:r>
    <w:r w:rsidRPr="00A43C1A">
      <w:rPr>
        <w:rFonts w:ascii="Calibri" w:hAnsi="Calibri" w:cs="Helvetica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ED0"/>
    <w:multiLevelType w:val="hybridMultilevel"/>
    <w:tmpl w:val="D7A8E670"/>
    <w:lvl w:ilvl="0" w:tplc="1422B4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50DAB"/>
    <w:multiLevelType w:val="hybridMultilevel"/>
    <w:tmpl w:val="B8C01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807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5370E42"/>
    <w:multiLevelType w:val="hybridMultilevel"/>
    <w:tmpl w:val="D2D258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57D0F"/>
    <w:multiLevelType w:val="hybridMultilevel"/>
    <w:tmpl w:val="2B82603A"/>
    <w:lvl w:ilvl="0" w:tplc="3F4EFE44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ADA4C8E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1CA34F0F"/>
    <w:multiLevelType w:val="hybridMultilevel"/>
    <w:tmpl w:val="7D42F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770FE"/>
    <w:multiLevelType w:val="hybridMultilevel"/>
    <w:tmpl w:val="41BE9F6E"/>
    <w:lvl w:ilvl="0" w:tplc="45E869FC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30632A"/>
    <w:multiLevelType w:val="singleLevel"/>
    <w:tmpl w:val="DBAAC53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8DC7FD3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506F010F"/>
    <w:multiLevelType w:val="hybridMultilevel"/>
    <w:tmpl w:val="A82C4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C3C61"/>
    <w:multiLevelType w:val="hybridMultilevel"/>
    <w:tmpl w:val="C2DA9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3586"/>
    <w:multiLevelType w:val="hybridMultilevel"/>
    <w:tmpl w:val="D8C46D16"/>
    <w:lvl w:ilvl="0" w:tplc="59E8A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4354"/>
    <w:multiLevelType w:val="singleLevel"/>
    <w:tmpl w:val="DBAAC53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594068"/>
    <w:multiLevelType w:val="hybridMultilevel"/>
    <w:tmpl w:val="38D80E3E"/>
    <w:lvl w:ilvl="0" w:tplc="9D2E6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4CD1"/>
    <w:multiLevelType w:val="hybridMultilevel"/>
    <w:tmpl w:val="555C3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D0B1A"/>
    <w:multiLevelType w:val="hybridMultilevel"/>
    <w:tmpl w:val="280001C2"/>
    <w:lvl w:ilvl="0" w:tplc="15EA0272">
      <w:numFmt w:val="bullet"/>
      <w:lvlText w:val="-"/>
      <w:lvlJc w:val="left"/>
      <w:pPr>
        <w:ind w:left="420" w:hanging="360"/>
      </w:pPr>
      <w:rPr>
        <w:rFonts w:ascii="Century Gothic" w:eastAsia="Cambria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ED660A"/>
    <w:multiLevelType w:val="hybridMultilevel"/>
    <w:tmpl w:val="CAFCC666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C247AF2"/>
    <w:multiLevelType w:val="hybridMultilevel"/>
    <w:tmpl w:val="4EA68456"/>
    <w:lvl w:ilvl="0" w:tplc="EA2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D71947"/>
    <w:multiLevelType w:val="hybridMultilevel"/>
    <w:tmpl w:val="B70A9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22ED"/>
    <w:multiLevelType w:val="hybridMultilevel"/>
    <w:tmpl w:val="3466AEF2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7"/>
  </w:num>
  <w:num w:numId="5">
    <w:abstractNumId w:val="20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9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E"/>
    <w:rsid w:val="0001430B"/>
    <w:rsid w:val="00022F21"/>
    <w:rsid w:val="000304F0"/>
    <w:rsid w:val="0003350A"/>
    <w:rsid w:val="0005786A"/>
    <w:rsid w:val="00071447"/>
    <w:rsid w:val="00073439"/>
    <w:rsid w:val="00082022"/>
    <w:rsid w:val="00085659"/>
    <w:rsid w:val="000A6144"/>
    <w:rsid w:val="000F4270"/>
    <w:rsid w:val="001354A2"/>
    <w:rsid w:val="00145F78"/>
    <w:rsid w:val="00153195"/>
    <w:rsid w:val="0018313B"/>
    <w:rsid w:val="001B4BBE"/>
    <w:rsid w:val="001C5FB9"/>
    <w:rsid w:val="001E3FD0"/>
    <w:rsid w:val="001E4CAB"/>
    <w:rsid w:val="001F68DE"/>
    <w:rsid w:val="00212380"/>
    <w:rsid w:val="002134FB"/>
    <w:rsid w:val="00213979"/>
    <w:rsid w:val="00213AE7"/>
    <w:rsid w:val="002161A4"/>
    <w:rsid w:val="0022215F"/>
    <w:rsid w:val="00223735"/>
    <w:rsid w:val="00245340"/>
    <w:rsid w:val="00247F2A"/>
    <w:rsid w:val="00261FDA"/>
    <w:rsid w:val="002621D0"/>
    <w:rsid w:val="00267AC3"/>
    <w:rsid w:val="00297464"/>
    <w:rsid w:val="002A0617"/>
    <w:rsid w:val="002A74FC"/>
    <w:rsid w:val="002B4320"/>
    <w:rsid w:val="002C0666"/>
    <w:rsid w:val="002E344A"/>
    <w:rsid w:val="00305701"/>
    <w:rsid w:val="00307AFC"/>
    <w:rsid w:val="00321D9C"/>
    <w:rsid w:val="0032423E"/>
    <w:rsid w:val="00326B27"/>
    <w:rsid w:val="00383B34"/>
    <w:rsid w:val="003A7B8F"/>
    <w:rsid w:val="003B608F"/>
    <w:rsid w:val="003E7E34"/>
    <w:rsid w:val="0042725D"/>
    <w:rsid w:val="00457FE8"/>
    <w:rsid w:val="004B5CC1"/>
    <w:rsid w:val="0051524D"/>
    <w:rsid w:val="00516B5D"/>
    <w:rsid w:val="005216B4"/>
    <w:rsid w:val="0055383E"/>
    <w:rsid w:val="00554393"/>
    <w:rsid w:val="00555B4C"/>
    <w:rsid w:val="0057393F"/>
    <w:rsid w:val="00577FC4"/>
    <w:rsid w:val="005B7DE5"/>
    <w:rsid w:val="005D7819"/>
    <w:rsid w:val="00606702"/>
    <w:rsid w:val="006A4F9D"/>
    <w:rsid w:val="006B0637"/>
    <w:rsid w:val="006D26F3"/>
    <w:rsid w:val="006D2C77"/>
    <w:rsid w:val="006F28BE"/>
    <w:rsid w:val="006F65D1"/>
    <w:rsid w:val="00704817"/>
    <w:rsid w:val="0074553A"/>
    <w:rsid w:val="00747BB8"/>
    <w:rsid w:val="0077307F"/>
    <w:rsid w:val="007739FB"/>
    <w:rsid w:val="00776AF0"/>
    <w:rsid w:val="00792919"/>
    <w:rsid w:val="007B4C8C"/>
    <w:rsid w:val="007F5E56"/>
    <w:rsid w:val="00801FF6"/>
    <w:rsid w:val="00811F1E"/>
    <w:rsid w:val="00827CC8"/>
    <w:rsid w:val="00836301"/>
    <w:rsid w:val="00861315"/>
    <w:rsid w:val="008A580E"/>
    <w:rsid w:val="008B3CBA"/>
    <w:rsid w:val="008C07A1"/>
    <w:rsid w:val="008D65B9"/>
    <w:rsid w:val="008F2ED5"/>
    <w:rsid w:val="00905A08"/>
    <w:rsid w:val="00922211"/>
    <w:rsid w:val="00934CBE"/>
    <w:rsid w:val="0096297B"/>
    <w:rsid w:val="009A02F1"/>
    <w:rsid w:val="009A128D"/>
    <w:rsid w:val="009B2ED7"/>
    <w:rsid w:val="009D47E7"/>
    <w:rsid w:val="009E479D"/>
    <w:rsid w:val="009E7F6F"/>
    <w:rsid w:val="00A027E1"/>
    <w:rsid w:val="00A151B0"/>
    <w:rsid w:val="00A249C8"/>
    <w:rsid w:val="00A359EE"/>
    <w:rsid w:val="00A43C1A"/>
    <w:rsid w:val="00A65751"/>
    <w:rsid w:val="00AB60CE"/>
    <w:rsid w:val="00AD29AC"/>
    <w:rsid w:val="00AD338C"/>
    <w:rsid w:val="00AE1EE2"/>
    <w:rsid w:val="00AF57AE"/>
    <w:rsid w:val="00B2663D"/>
    <w:rsid w:val="00B37045"/>
    <w:rsid w:val="00B458D4"/>
    <w:rsid w:val="00B74F91"/>
    <w:rsid w:val="00BE03F7"/>
    <w:rsid w:val="00BE661F"/>
    <w:rsid w:val="00C0493D"/>
    <w:rsid w:val="00C2007E"/>
    <w:rsid w:val="00C45236"/>
    <w:rsid w:val="00C71C00"/>
    <w:rsid w:val="00CB4F89"/>
    <w:rsid w:val="00CE6C04"/>
    <w:rsid w:val="00D40AC4"/>
    <w:rsid w:val="00D51EE3"/>
    <w:rsid w:val="00D81087"/>
    <w:rsid w:val="00DA29DB"/>
    <w:rsid w:val="00DD597E"/>
    <w:rsid w:val="00DF175C"/>
    <w:rsid w:val="00E13BA6"/>
    <w:rsid w:val="00E15BD8"/>
    <w:rsid w:val="00E206BA"/>
    <w:rsid w:val="00E244A7"/>
    <w:rsid w:val="00E4779E"/>
    <w:rsid w:val="00E52BC7"/>
    <w:rsid w:val="00E64509"/>
    <w:rsid w:val="00EC400C"/>
    <w:rsid w:val="00ED11F3"/>
    <w:rsid w:val="00ED471A"/>
    <w:rsid w:val="00F31ED9"/>
    <w:rsid w:val="00F41E3C"/>
    <w:rsid w:val="00F42FC2"/>
    <w:rsid w:val="00F56983"/>
    <w:rsid w:val="00F756B0"/>
    <w:rsid w:val="00F97DF5"/>
    <w:rsid w:val="00FD3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39F1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F5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14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C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AB"/>
    <w:rPr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rsid w:val="00457FE8"/>
    <w:pPr>
      <w:spacing w:after="0"/>
    </w:pPr>
    <w:rPr>
      <w:rFonts w:ascii="Times New Roman" w:eastAsia="Times New Roman" w:hAnsi="Times New Roman"/>
      <w:b/>
      <w:sz w:val="22"/>
      <w:szCs w:val="20"/>
      <w:u w:val="single"/>
      <w:lang w:val="en-CA" w:eastAsia="en-CA"/>
    </w:rPr>
  </w:style>
  <w:style w:type="character" w:customStyle="1" w:styleId="BodyTextChar">
    <w:name w:val="Body Text Char"/>
    <w:link w:val="BodyText"/>
    <w:semiHidden/>
    <w:rsid w:val="00457FE8"/>
    <w:rPr>
      <w:rFonts w:ascii="Times New Roman" w:eastAsia="Times New Roman" w:hAnsi="Times New Roman"/>
      <w:b/>
      <w:sz w:val="22"/>
      <w:u w:val="single"/>
    </w:rPr>
  </w:style>
  <w:style w:type="paragraph" w:styleId="BodyText2">
    <w:name w:val="Body Text 2"/>
    <w:basedOn w:val="Normal"/>
    <w:link w:val="BodyText2Char"/>
    <w:semiHidden/>
    <w:rsid w:val="00457FE8"/>
    <w:pPr>
      <w:spacing w:after="0"/>
    </w:pPr>
    <w:rPr>
      <w:rFonts w:ascii="Comic Sans MS" w:eastAsia="Times New Roman" w:hAnsi="Comic Sans MS"/>
      <w:b/>
      <w:sz w:val="22"/>
      <w:szCs w:val="20"/>
      <w:lang w:eastAsia="en-CA"/>
    </w:rPr>
  </w:style>
  <w:style w:type="character" w:customStyle="1" w:styleId="BodyText2Char">
    <w:name w:val="Body Text 2 Char"/>
    <w:link w:val="BodyText2"/>
    <w:semiHidden/>
    <w:rsid w:val="00457FE8"/>
    <w:rPr>
      <w:rFonts w:ascii="Comic Sans MS" w:eastAsia="Times New Roman" w:hAnsi="Comic Sans MS"/>
      <w:b/>
      <w:sz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457FE8"/>
    <w:pPr>
      <w:spacing w:after="0"/>
      <w:ind w:left="-540"/>
      <w:jc w:val="both"/>
    </w:pPr>
    <w:rPr>
      <w:rFonts w:ascii="Comic Sans MS" w:eastAsia="Times New Roman" w:hAnsi="Comic Sans MS"/>
      <w:sz w:val="22"/>
      <w:szCs w:val="20"/>
      <w:lang w:eastAsia="en-CA"/>
    </w:rPr>
  </w:style>
  <w:style w:type="character" w:customStyle="1" w:styleId="BodyTextIndentChar">
    <w:name w:val="Body Text Indent Char"/>
    <w:link w:val="BodyTextIndent"/>
    <w:semiHidden/>
    <w:rsid w:val="00457FE8"/>
    <w:rPr>
      <w:rFonts w:ascii="Comic Sans MS" w:eastAsia="Times New Roman" w:hAnsi="Comic Sans MS"/>
      <w:sz w:val="22"/>
      <w:lang w:val="en-US"/>
    </w:rPr>
  </w:style>
  <w:style w:type="character" w:styleId="Hyperlink">
    <w:name w:val="Hyperlink"/>
    <w:semiHidden/>
    <w:rsid w:val="00DF1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A0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123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39F1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F5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14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C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AB"/>
    <w:rPr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rsid w:val="00457FE8"/>
    <w:pPr>
      <w:spacing w:after="0"/>
    </w:pPr>
    <w:rPr>
      <w:rFonts w:ascii="Times New Roman" w:eastAsia="Times New Roman" w:hAnsi="Times New Roman"/>
      <w:b/>
      <w:sz w:val="22"/>
      <w:szCs w:val="20"/>
      <w:u w:val="single"/>
      <w:lang w:val="en-CA" w:eastAsia="en-CA"/>
    </w:rPr>
  </w:style>
  <w:style w:type="character" w:customStyle="1" w:styleId="BodyTextChar">
    <w:name w:val="Body Text Char"/>
    <w:link w:val="BodyText"/>
    <w:semiHidden/>
    <w:rsid w:val="00457FE8"/>
    <w:rPr>
      <w:rFonts w:ascii="Times New Roman" w:eastAsia="Times New Roman" w:hAnsi="Times New Roman"/>
      <w:b/>
      <w:sz w:val="22"/>
      <w:u w:val="single"/>
    </w:rPr>
  </w:style>
  <w:style w:type="paragraph" w:styleId="BodyText2">
    <w:name w:val="Body Text 2"/>
    <w:basedOn w:val="Normal"/>
    <w:link w:val="BodyText2Char"/>
    <w:semiHidden/>
    <w:rsid w:val="00457FE8"/>
    <w:pPr>
      <w:spacing w:after="0"/>
    </w:pPr>
    <w:rPr>
      <w:rFonts w:ascii="Comic Sans MS" w:eastAsia="Times New Roman" w:hAnsi="Comic Sans MS"/>
      <w:b/>
      <w:sz w:val="22"/>
      <w:szCs w:val="20"/>
      <w:lang w:eastAsia="en-CA"/>
    </w:rPr>
  </w:style>
  <w:style w:type="character" w:customStyle="1" w:styleId="BodyText2Char">
    <w:name w:val="Body Text 2 Char"/>
    <w:link w:val="BodyText2"/>
    <w:semiHidden/>
    <w:rsid w:val="00457FE8"/>
    <w:rPr>
      <w:rFonts w:ascii="Comic Sans MS" w:eastAsia="Times New Roman" w:hAnsi="Comic Sans MS"/>
      <w:b/>
      <w:sz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457FE8"/>
    <w:pPr>
      <w:spacing w:after="0"/>
      <w:ind w:left="-540"/>
      <w:jc w:val="both"/>
    </w:pPr>
    <w:rPr>
      <w:rFonts w:ascii="Comic Sans MS" w:eastAsia="Times New Roman" w:hAnsi="Comic Sans MS"/>
      <w:sz w:val="22"/>
      <w:szCs w:val="20"/>
      <w:lang w:eastAsia="en-CA"/>
    </w:rPr>
  </w:style>
  <w:style w:type="character" w:customStyle="1" w:styleId="BodyTextIndentChar">
    <w:name w:val="Body Text Indent Char"/>
    <w:link w:val="BodyTextIndent"/>
    <w:semiHidden/>
    <w:rsid w:val="00457FE8"/>
    <w:rPr>
      <w:rFonts w:ascii="Comic Sans MS" w:eastAsia="Times New Roman" w:hAnsi="Comic Sans MS"/>
      <w:sz w:val="22"/>
      <w:lang w:val="en-US"/>
    </w:rPr>
  </w:style>
  <w:style w:type="character" w:styleId="Hyperlink">
    <w:name w:val="Hyperlink"/>
    <w:semiHidden/>
    <w:rsid w:val="00DF1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A0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123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F1CD-AA12-40DC-B06C-4ACEB096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1670</Words>
  <Characters>6928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LoPo Physio Consulting</Company>
  <LinksUpToDate>false</LinksUpToDate>
  <CharactersWithSpaces>8581</CharactersWithSpaces>
  <SharedDoc>false</SharedDoc>
  <HLinks>
    <vt:vector size="42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mailto:program@sportphysio.ca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6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Physiotherapy Canada</dc:creator>
  <cp:lastModifiedBy>SPC - Meber Service</cp:lastModifiedBy>
  <cp:revision>8</cp:revision>
  <cp:lastPrinted>2016-01-29T19:34:00Z</cp:lastPrinted>
  <dcterms:created xsi:type="dcterms:W3CDTF">2016-02-19T18:52:00Z</dcterms:created>
  <dcterms:modified xsi:type="dcterms:W3CDTF">2016-02-19T21:55:00Z</dcterms:modified>
</cp:coreProperties>
</file>